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10E4D" w14:textId="77777777" w:rsidR="004E71F3" w:rsidRPr="007247D3" w:rsidRDefault="001B7C19" w:rsidP="00B04AB9">
      <w:pPr>
        <w:pStyle w:val="NoSpacing"/>
      </w:pPr>
      <w:r>
        <w:br/>
      </w:r>
      <w:r w:rsidR="00B9318F" w:rsidRPr="007247D3">
        <w:t>General Guidelines</w:t>
      </w:r>
    </w:p>
    <w:p w14:paraId="2D501F20" w14:textId="04ADE3B6" w:rsidR="00AF043A" w:rsidRDefault="004B3200" w:rsidP="0024559B">
      <w:pPr>
        <w:rPr>
          <w:rFonts w:ascii="Arial" w:hAnsi="Arial" w:cs="Arial"/>
        </w:rPr>
      </w:pPr>
      <w:r w:rsidRPr="007247D3">
        <w:rPr>
          <w:rFonts w:ascii="Arial" w:hAnsi="Arial" w:cs="Arial"/>
        </w:rPr>
        <w:t>Colleges</w:t>
      </w:r>
      <w:r w:rsidR="00F85DEE" w:rsidRPr="007247D3">
        <w:rPr>
          <w:rFonts w:ascii="Arial" w:hAnsi="Arial" w:cs="Arial"/>
        </w:rPr>
        <w:t xml:space="preserve"> and regional campuses (including ATI) that wish to change an existing</w:t>
      </w:r>
      <w:r w:rsidR="007D7ACA">
        <w:rPr>
          <w:rFonts w:ascii="Arial" w:hAnsi="Arial" w:cs="Arial"/>
        </w:rPr>
        <w:t xml:space="preserve"> student</w:t>
      </w:r>
      <w:r w:rsidR="00F85DEE" w:rsidRPr="007247D3">
        <w:rPr>
          <w:rFonts w:ascii="Arial" w:hAnsi="Arial" w:cs="Arial"/>
        </w:rPr>
        <w:t xml:space="preserve"> fee or to implement a new </w:t>
      </w:r>
      <w:r w:rsidR="007D7ACA">
        <w:rPr>
          <w:rFonts w:ascii="Arial" w:hAnsi="Arial" w:cs="Arial"/>
        </w:rPr>
        <w:t xml:space="preserve">student </w:t>
      </w:r>
      <w:r w:rsidR="00F85DEE" w:rsidRPr="007247D3">
        <w:rPr>
          <w:rFonts w:ascii="Arial" w:hAnsi="Arial" w:cs="Arial"/>
        </w:rPr>
        <w:t xml:space="preserve">fee for FY </w:t>
      </w:r>
      <w:r w:rsidR="004C3AA3" w:rsidRPr="007247D3">
        <w:rPr>
          <w:rFonts w:ascii="Arial" w:hAnsi="Arial" w:cs="Arial"/>
        </w:rPr>
        <w:t>202</w:t>
      </w:r>
      <w:r w:rsidR="00012F23">
        <w:rPr>
          <w:rFonts w:ascii="Arial" w:hAnsi="Arial" w:cs="Arial"/>
        </w:rPr>
        <w:t>6</w:t>
      </w:r>
      <w:r w:rsidR="004C3AA3" w:rsidRPr="007247D3">
        <w:rPr>
          <w:rFonts w:ascii="Arial" w:hAnsi="Arial" w:cs="Arial"/>
        </w:rPr>
        <w:t xml:space="preserve"> </w:t>
      </w:r>
      <w:r w:rsidR="00F85DEE" w:rsidRPr="007247D3">
        <w:rPr>
          <w:rFonts w:ascii="Arial" w:hAnsi="Arial" w:cs="Arial"/>
        </w:rPr>
        <w:t>should follow the instructions contained in this guidanc</w:t>
      </w:r>
      <w:r w:rsidR="009E691F">
        <w:rPr>
          <w:rFonts w:ascii="Arial" w:hAnsi="Arial" w:cs="Arial"/>
        </w:rPr>
        <w:t>e.</w:t>
      </w:r>
    </w:p>
    <w:tbl>
      <w:tblPr>
        <w:tblW w:w="10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1404"/>
        <w:gridCol w:w="6030"/>
        <w:gridCol w:w="1620"/>
      </w:tblGrid>
      <w:tr w:rsidR="00EB2CD2" w:rsidRPr="00EB2CD2" w14:paraId="3B003C0A" w14:textId="77777777" w:rsidTr="00C70B3F">
        <w:trPr>
          <w:trHeight w:val="288"/>
        </w:trPr>
        <w:tc>
          <w:tcPr>
            <w:tcW w:w="1840" w:type="dxa"/>
            <w:shd w:val="clear" w:color="auto" w:fill="C00000"/>
            <w:noWrap/>
            <w:vAlign w:val="bottom"/>
            <w:hideMark/>
          </w:tcPr>
          <w:p w14:paraId="742C09C5" w14:textId="77777777" w:rsidR="00EB2CD2" w:rsidRPr="00EB2CD2" w:rsidRDefault="00EB2CD2" w:rsidP="00EB2C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EB2C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Student Fee</w:t>
            </w:r>
          </w:p>
        </w:tc>
        <w:tc>
          <w:tcPr>
            <w:tcW w:w="1404" w:type="dxa"/>
            <w:shd w:val="clear" w:color="auto" w:fill="C00000"/>
            <w:noWrap/>
            <w:vAlign w:val="bottom"/>
            <w:hideMark/>
          </w:tcPr>
          <w:p w14:paraId="587FC812" w14:textId="77777777" w:rsidR="00EB2CD2" w:rsidRPr="00EB2CD2" w:rsidRDefault="00EB2CD2" w:rsidP="00EB2C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EB2C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Fee Type</w:t>
            </w:r>
          </w:p>
        </w:tc>
        <w:tc>
          <w:tcPr>
            <w:tcW w:w="6030" w:type="dxa"/>
            <w:shd w:val="clear" w:color="auto" w:fill="C00000"/>
            <w:noWrap/>
            <w:vAlign w:val="bottom"/>
            <w:hideMark/>
          </w:tcPr>
          <w:p w14:paraId="392B3DF8" w14:textId="77777777" w:rsidR="00EB2CD2" w:rsidRPr="00EB2CD2" w:rsidRDefault="00EB2CD2" w:rsidP="00EB2C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EB2C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Guidance</w:t>
            </w:r>
          </w:p>
        </w:tc>
        <w:tc>
          <w:tcPr>
            <w:tcW w:w="1620" w:type="dxa"/>
            <w:shd w:val="clear" w:color="auto" w:fill="C00000"/>
            <w:noWrap/>
            <w:vAlign w:val="bottom"/>
            <w:hideMark/>
          </w:tcPr>
          <w:p w14:paraId="4AF52E5B" w14:textId="77777777" w:rsidR="00EB2CD2" w:rsidRPr="00EB2CD2" w:rsidRDefault="00EB2CD2" w:rsidP="00EB2C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1C93314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  <w:t>Examples</w:t>
            </w:r>
          </w:p>
        </w:tc>
      </w:tr>
      <w:tr w:rsidR="00EB2CD2" w:rsidRPr="00EB2CD2" w14:paraId="20FBDE99" w14:textId="77777777" w:rsidTr="00C70B3F">
        <w:trPr>
          <w:trHeight w:val="756"/>
        </w:trPr>
        <w:tc>
          <w:tcPr>
            <w:tcW w:w="1840" w:type="dxa"/>
            <w:vMerge w:val="restart"/>
            <w:shd w:val="clear" w:color="auto" w:fill="auto"/>
            <w:noWrap/>
            <w:vAlign w:val="center"/>
            <w:hideMark/>
          </w:tcPr>
          <w:p w14:paraId="130C2374" w14:textId="77777777" w:rsidR="00EB2CD2" w:rsidRPr="000E649E" w:rsidRDefault="00EB2CD2" w:rsidP="1C93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1C93314B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Undergraduate</w:t>
            </w:r>
          </w:p>
        </w:tc>
        <w:tc>
          <w:tcPr>
            <w:tcW w:w="1404" w:type="dxa"/>
            <w:shd w:val="clear" w:color="auto" w:fill="auto"/>
            <w:hideMark/>
          </w:tcPr>
          <w:p w14:paraId="53B8C81F" w14:textId="77777777" w:rsidR="00EB2CD2" w:rsidRPr="00EB2CD2" w:rsidRDefault="00EB2CD2" w:rsidP="00EB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2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Program Fees</w:t>
            </w:r>
          </w:p>
        </w:tc>
        <w:tc>
          <w:tcPr>
            <w:tcW w:w="6030" w:type="dxa"/>
            <w:vMerge w:val="restart"/>
            <w:shd w:val="clear" w:color="auto" w:fill="auto"/>
            <w:vAlign w:val="center"/>
            <w:hideMark/>
          </w:tcPr>
          <w:p w14:paraId="5FF2D4F5" w14:textId="53809496" w:rsidR="005D0CC7" w:rsidRDefault="005D0CC7" w:rsidP="005D0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1C93314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•  Program fees must be approved in advance </w:t>
            </w:r>
            <w:r w:rsidR="45761B5D" w:rsidRPr="1C93314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of this process </w:t>
            </w:r>
            <w:r w:rsidRPr="1C93314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as an exception by the Chancellor of the Ohio Department of Higher Education (ODHE). This is an extensive and lengthy process. Moreover, it is highly unlikely that a new or increased program fee would be approved for FY 202</w:t>
            </w:r>
            <w:r w:rsidR="00012F2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6</w:t>
            </w:r>
          </w:p>
          <w:p w14:paraId="6DEB4FA6" w14:textId="1F545E68" w:rsidR="0090197A" w:rsidRPr="005D0CC7" w:rsidRDefault="0090197A" w:rsidP="005D0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D0C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•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For </w:t>
            </w:r>
            <w:r w:rsidRPr="005D0C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FY 202</w:t>
            </w:r>
            <w:r w:rsidR="00012F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the </w:t>
            </w:r>
            <w:r w:rsidRPr="005D0C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institutional recommendation is to limit all new and increas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</w:t>
            </w:r>
            <w:r w:rsidRPr="005D0C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course fees</w:t>
            </w:r>
          </w:p>
          <w:p w14:paraId="72E222D4" w14:textId="5F578610" w:rsidR="00EB2CD2" w:rsidRPr="00EB2CD2" w:rsidRDefault="005D0CC7" w:rsidP="005D0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D0C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  Current provisions</w:t>
            </w:r>
            <w:r w:rsidR="009019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D0C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allow for exceptions only for fees that are collected as 3rd party pass-thru charges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85F097D" w14:textId="4BBE8E8C" w:rsidR="00EB2CD2" w:rsidRPr="00EB2CD2" w:rsidRDefault="00EB2CD2" w:rsidP="1C93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1C93314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  <w:r>
              <w:br/>
            </w:r>
            <w:r w:rsidR="5D83DE87" w:rsidRPr="1C93314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Engineering Program Fee</w:t>
            </w:r>
          </w:p>
        </w:tc>
      </w:tr>
      <w:tr w:rsidR="00EB2CD2" w:rsidRPr="00EB2CD2" w14:paraId="47BD94B8" w14:textId="77777777" w:rsidTr="00C70B3F">
        <w:trPr>
          <w:trHeight w:val="822"/>
        </w:trPr>
        <w:tc>
          <w:tcPr>
            <w:tcW w:w="1840" w:type="dxa"/>
            <w:vMerge/>
            <w:vAlign w:val="center"/>
            <w:hideMark/>
          </w:tcPr>
          <w:p w14:paraId="7997536B" w14:textId="77777777" w:rsidR="00EB2CD2" w:rsidRPr="00EB2CD2" w:rsidRDefault="00EB2CD2" w:rsidP="00EB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hideMark/>
          </w:tcPr>
          <w:p w14:paraId="3D6826C8" w14:textId="77777777" w:rsidR="00EB2CD2" w:rsidRPr="00EB2CD2" w:rsidRDefault="00EB2CD2" w:rsidP="00EB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2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Course Fees</w:t>
            </w:r>
          </w:p>
        </w:tc>
        <w:tc>
          <w:tcPr>
            <w:tcW w:w="6030" w:type="dxa"/>
            <w:vMerge/>
            <w:vAlign w:val="center"/>
            <w:hideMark/>
          </w:tcPr>
          <w:p w14:paraId="5FA4AAAF" w14:textId="77777777" w:rsidR="00EB2CD2" w:rsidRPr="00EB2CD2" w:rsidRDefault="00EB2CD2" w:rsidP="00EB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B34E838" w14:textId="44002394" w:rsidR="00EB2CD2" w:rsidRPr="00EB2CD2" w:rsidRDefault="00EB2CD2" w:rsidP="1C93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1C93314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  <w:r w:rsidR="4010B8DF" w:rsidRPr="1C93314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Chemistry, Physics, Biology lab fees</w:t>
            </w:r>
          </w:p>
        </w:tc>
      </w:tr>
      <w:tr w:rsidR="00EB2CD2" w:rsidRPr="00EB2CD2" w14:paraId="2CDBB482" w14:textId="77777777" w:rsidTr="00C70B3F">
        <w:trPr>
          <w:trHeight w:val="1074"/>
        </w:trPr>
        <w:tc>
          <w:tcPr>
            <w:tcW w:w="1840" w:type="dxa"/>
            <w:vMerge w:val="restart"/>
            <w:shd w:val="clear" w:color="auto" w:fill="auto"/>
            <w:noWrap/>
            <w:vAlign w:val="center"/>
            <w:hideMark/>
          </w:tcPr>
          <w:p w14:paraId="1A7FF0CD" w14:textId="77777777" w:rsidR="00EB2CD2" w:rsidRPr="000E649E" w:rsidRDefault="00EB2CD2" w:rsidP="00EB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E64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Graduate</w:t>
            </w:r>
          </w:p>
        </w:tc>
        <w:tc>
          <w:tcPr>
            <w:tcW w:w="1404" w:type="dxa"/>
            <w:shd w:val="clear" w:color="auto" w:fill="auto"/>
            <w:hideMark/>
          </w:tcPr>
          <w:p w14:paraId="7DE3E6C1" w14:textId="67A24681" w:rsidR="00EB2CD2" w:rsidRDefault="00EB2CD2" w:rsidP="00EB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2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Program Fees / Technology Master</w:t>
            </w:r>
            <w:r w:rsidR="000E64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’</w:t>
            </w:r>
            <w:r w:rsidRPr="00EB2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</w:p>
          <w:p w14:paraId="3945BB6B" w14:textId="1C4E2B68" w:rsidR="00590A3E" w:rsidRPr="00EB2CD2" w:rsidRDefault="00590A3E" w:rsidP="00EB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shd w:val="clear" w:color="auto" w:fill="auto"/>
            <w:hideMark/>
          </w:tcPr>
          <w:p w14:paraId="4333D4A2" w14:textId="45773597" w:rsidR="00EB2CD2" w:rsidRPr="00EB2CD2" w:rsidRDefault="00EB2CD2" w:rsidP="00EB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2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•  Historically permitted by Ohio Revised Code to increase or create a fee, but requests must provide the justification (see attached form) </w:t>
            </w:r>
            <w:r w:rsidRPr="00EB2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proofErr w:type="gramStart"/>
            <w:r w:rsidRPr="00EB2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  Historically</w:t>
            </w:r>
            <w:proofErr w:type="gramEnd"/>
            <w:r w:rsidRPr="00EB2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permitted by Ohio Revised Code to decrease or eliminate a fee, but requests must provide the justification (see attached form)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10ABB18" w14:textId="1983B343" w:rsidR="00EB2CD2" w:rsidRPr="00EB2CD2" w:rsidRDefault="00EB2CD2" w:rsidP="1C93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1C93314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  <w:r w:rsidR="6DBC53F3" w:rsidRPr="1C93314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CRNA Program Fee</w:t>
            </w:r>
          </w:p>
          <w:p w14:paraId="36711FBF" w14:textId="491B9EA8" w:rsidR="00EB2CD2" w:rsidRPr="00EB2CD2" w:rsidRDefault="00EB2CD2" w:rsidP="1C93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B2CD2" w:rsidRPr="00EB2CD2" w14:paraId="4B4DC335" w14:textId="77777777" w:rsidTr="00C70B3F">
        <w:trPr>
          <w:trHeight w:val="444"/>
        </w:trPr>
        <w:tc>
          <w:tcPr>
            <w:tcW w:w="1840" w:type="dxa"/>
            <w:vMerge/>
            <w:vAlign w:val="center"/>
            <w:hideMark/>
          </w:tcPr>
          <w:p w14:paraId="03A8BC11" w14:textId="77777777" w:rsidR="00EB2CD2" w:rsidRPr="00EB2CD2" w:rsidRDefault="00EB2CD2" w:rsidP="00EB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hideMark/>
          </w:tcPr>
          <w:p w14:paraId="414E98DB" w14:textId="77777777" w:rsidR="00EB2CD2" w:rsidRDefault="00EB2CD2" w:rsidP="00EB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2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Course Fees</w:t>
            </w:r>
          </w:p>
          <w:p w14:paraId="301121E5" w14:textId="77777777" w:rsidR="00A505CB" w:rsidRDefault="00A505CB" w:rsidP="00EB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B438DAC" w14:textId="54D5FB28" w:rsidR="00590A3E" w:rsidRPr="00EB2CD2" w:rsidRDefault="00590A3E" w:rsidP="00EB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shd w:val="clear" w:color="auto" w:fill="auto"/>
            <w:hideMark/>
          </w:tcPr>
          <w:p w14:paraId="67277BC3" w14:textId="7856B359" w:rsidR="00EB2CD2" w:rsidRPr="00EB2CD2" w:rsidRDefault="00EB2CD2" w:rsidP="1C93314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yellow"/>
              </w:rPr>
            </w:pPr>
            <w:r w:rsidRPr="1C93314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•  Permitted for labs and courses </w:t>
            </w:r>
          </w:p>
          <w:p w14:paraId="699EF3D9" w14:textId="4E2F5C75" w:rsidR="00EB2CD2" w:rsidRPr="00EB2CD2" w:rsidRDefault="00EB2CD2" w:rsidP="00ED6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1C93314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•  Permitted if the course fee is a 3rd party pass-thru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1FDA91F" w14:textId="315A1BC6" w:rsidR="00EB2CD2" w:rsidRPr="00EB2CD2" w:rsidRDefault="00EB2CD2" w:rsidP="1C93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1C93314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  <w:r w:rsidR="3FEA23A3" w:rsidRPr="1C93314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Chemistry, Physics, Biology</w:t>
            </w:r>
            <w:r w:rsidR="2695D34F" w:rsidRPr="1C93314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lab fees</w:t>
            </w:r>
          </w:p>
        </w:tc>
      </w:tr>
      <w:tr w:rsidR="00EB2CD2" w:rsidRPr="00EB2CD2" w14:paraId="243AFC10" w14:textId="77777777" w:rsidTr="00C70B3F">
        <w:trPr>
          <w:trHeight w:val="600"/>
        </w:trPr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14:paraId="17E6F943" w14:textId="26F65EB4" w:rsidR="00EB2CD2" w:rsidRPr="000E649E" w:rsidRDefault="00EB2CD2" w:rsidP="00EB2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E64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Tagged Master</w:t>
            </w:r>
            <w:r w:rsidR="000E649E" w:rsidRPr="000E64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’s</w:t>
            </w:r>
            <w:r w:rsidRPr="000E64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/ Professional Programs</w:t>
            </w:r>
          </w:p>
        </w:tc>
        <w:tc>
          <w:tcPr>
            <w:tcW w:w="1404" w:type="dxa"/>
            <w:shd w:val="clear" w:color="auto" w:fill="auto"/>
            <w:hideMark/>
          </w:tcPr>
          <w:p w14:paraId="12F5427B" w14:textId="77777777" w:rsidR="00EB2CD2" w:rsidRPr="00EB2CD2" w:rsidRDefault="00EB2CD2" w:rsidP="00EB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2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Instructional &amp; </w:t>
            </w:r>
            <w:r w:rsidRPr="00EB2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Non-Resident</w:t>
            </w:r>
          </w:p>
        </w:tc>
        <w:tc>
          <w:tcPr>
            <w:tcW w:w="6030" w:type="dxa"/>
            <w:vMerge w:val="restart"/>
            <w:shd w:val="clear" w:color="auto" w:fill="auto"/>
            <w:vAlign w:val="center"/>
            <w:hideMark/>
          </w:tcPr>
          <w:p w14:paraId="66041291" w14:textId="56952DFE" w:rsidR="00EB2CD2" w:rsidRPr="00EB2CD2" w:rsidRDefault="00EB2CD2" w:rsidP="00EB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2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  Historically permitted by Ohio Revised Code to increase or create a fee, but requests must provide the justification (see attached form)</w:t>
            </w:r>
            <w:r w:rsidRPr="00EB2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proofErr w:type="gramStart"/>
            <w:r w:rsidRPr="00EB2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•  Historically</w:t>
            </w:r>
            <w:proofErr w:type="gramEnd"/>
            <w:r w:rsidRPr="00EB2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permitted by Ohio Revised Code to decrease or eliminate a fee, but requests must provide the justification (see attached form)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549331F" w14:textId="1B0BE37F" w:rsidR="00EB2CD2" w:rsidRPr="00EB2CD2" w:rsidRDefault="00EB2CD2" w:rsidP="1C93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1C93314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  <w:r w:rsidR="24FF3F89" w:rsidRPr="1C93314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Differential Tuition</w:t>
            </w:r>
          </w:p>
        </w:tc>
      </w:tr>
      <w:tr w:rsidR="00EB2CD2" w:rsidRPr="00EB2CD2" w14:paraId="1AA0AD9D" w14:textId="77777777" w:rsidTr="00C70B3F">
        <w:trPr>
          <w:trHeight w:val="588"/>
        </w:trPr>
        <w:tc>
          <w:tcPr>
            <w:tcW w:w="1840" w:type="dxa"/>
            <w:vMerge/>
            <w:vAlign w:val="center"/>
            <w:hideMark/>
          </w:tcPr>
          <w:p w14:paraId="05E4B673" w14:textId="77777777" w:rsidR="00EB2CD2" w:rsidRPr="00EB2CD2" w:rsidRDefault="00EB2CD2" w:rsidP="00EB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hideMark/>
          </w:tcPr>
          <w:p w14:paraId="32381BF1" w14:textId="4D690DF8" w:rsidR="00EB2CD2" w:rsidRPr="00EB2CD2" w:rsidRDefault="00EB2CD2" w:rsidP="00EB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2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Program Fees / Technology Master</w:t>
            </w:r>
            <w:r w:rsidR="000E64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’</w:t>
            </w:r>
            <w:r w:rsidRPr="00EB2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6030" w:type="dxa"/>
            <w:vMerge/>
            <w:vAlign w:val="center"/>
            <w:hideMark/>
          </w:tcPr>
          <w:p w14:paraId="2D94AEF0" w14:textId="77777777" w:rsidR="00EB2CD2" w:rsidRPr="00EB2CD2" w:rsidRDefault="00EB2CD2" w:rsidP="00EB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C08047B" w14:textId="77777777" w:rsidR="00EB2CD2" w:rsidRPr="00EB2CD2" w:rsidRDefault="00EB2CD2" w:rsidP="1C93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1C93314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Learning Technology, Equipment, etc.</w:t>
            </w:r>
          </w:p>
        </w:tc>
      </w:tr>
      <w:tr w:rsidR="00EB2CD2" w:rsidRPr="00EB2CD2" w14:paraId="7035C28C" w14:textId="77777777" w:rsidTr="00C70B3F">
        <w:trPr>
          <w:trHeight w:val="288"/>
        </w:trPr>
        <w:tc>
          <w:tcPr>
            <w:tcW w:w="1840" w:type="dxa"/>
            <w:vMerge/>
            <w:vAlign w:val="center"/>
            <w:hideMark/>
          </w:tcPr>
          <w:p w14:paraId="21312C17" w14:textId="77777777" w:rsidR="00EB2CD2" w:rsidRPr="00EB2CD2" w:rsidRDefault="00EB2CD2" w:rsidP="00EB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hideMark/>
          </w:tcPr>
          <w:p w14:paraId="76752FD7" w14:textId="77777777" w:rsidR="00EB2CD2" w:rsidRPr="00EB2CD2" w:rsidRDefault="00EB2CD2" w:rsidP="00EB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2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Course Fees</w:t>
            </w:r>
          </w:p>
        </w:tc>
        <w:tc>
          <w:tcPr>
            <w:tcW w:w="6030" w:type="dxa"/>
            <w:vMerge/>
            <w:vAlign w:val="center"/>
            <w:hideMark/>
          </w:tcPr>
          <w:p w14:paraId="08B941DF" w14:textId="77777777" w:rsidR="00EB2CD2" w:rsidRPr="00EB2CD2" w:rsidRDefault="00EB2CD2" w:rsidP="00EB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620B7BE" w14:textId="77777777" w:rsidR="00EB2CD2" w:rsidRPr="00EB2CD2" w:rsidRDefault="00EB2CD2" w:rsidP="1C93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1C93314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Lab, Clinical, etc.</w:t>
            </w:r>
          </w:p>
        </w:tc>
      </w:tr>
      <w:tr w:rsidR="00EB2CD2" w:rsidRPr="00EB2CD2" w14:paraId="1A8AAFEF" w14:textId="77777777" w:rsidTr="00C70B3F">
        <w:trPr>
          <w:trHeight w:val="552"/>
        </w:trPr>
        <w:tc>
          <w:tcPr>
            <w:tcW w:w="1840" w:type="dxa"/>
            <w:vMerge/>
            <w:vAlign w:val="center"/>
            <w:hideMark/>
          </w:tcPr>
          <w:p w14:paraId="59755C7C" w14:textId="77777777" w:rsidR="00EB2CD2" w:rsidRPr="00EB2CD2" w:rsidRDefault="00EB2CD2" w:rsidP="00EB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hideMark/>
          </w:tcPr>
          <w:p w14:paraId="0669E2FB" w14:textId="77777777" w:rsidR="00EB2CD2" w:rsidRPr="00EB2CD2" w:rsidRDefault="00EB2CD2" w:rsidP="00EB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2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6030" w:type="dxa"/>
            <w:vMerge/>
            <w:vAlign w:val="center"/>
            <w:hideMark/>
          </w:tcPr>
          <w:p w14:paraId="27357A2C" w14:textId="77777777" w:rsidR="00EB2CD2" w:rsidRPr="00EB2CD2" w:rsidRDefault="00EB2CD2" w:rsidP="00EB2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99CAC4C" w14:textId="77777777" w:rsidR="00EB2CD2" w:rsidRPr="00EB2CD2" w:rsidRDefault="00EB2CD2" w:rsidP="1C93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1C93314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Application, Acceptance, Association, Deposit, etc.</w:t>
            </w:r>
          </w:p>
        </w:tc>
      </w:tr>
    </w:tbl>
    <w:p w14:paraId="71AB5458" w14:textId="5B771223" w:rsidR="0024559B" w:rsidRPr="007247D3" w:rsidRDefault="0024559B" w:rsidP="0024559B">
      <w:pPr>
        <w:rPr>
          <w:rFonts w:ascii="Arial" w:hAnsi="Arial" w:cs="Arial"/>
        </w:rPr>
      </w:pPr>
    </w:p>
    <w:p w14:paraId="17BFF25C" w14:textId="45DE2B15" w:rsidR="00F85DEE" w:rsidRPr="007247D3" w:rsidRDefault="00A65343" w:rsidP="00804AFE">
      <w:pPr>
        <w:rPr>
          <w:rFonts w:ascii="Arial" w:hAnsi="Arial" w:cs="Arial"/>
        </w:rPr>
      </w:pPr>
      <w:r>
        <w:rPr>
          <w:rFonts w:ascii="Arial" w:hAnsi="Arial" w:cs="Arial"/>
          <w:bCs/>
        </w:rPr>
        <w:t>Student f</w:t>
      </w:r>
      <w:r w:rsidR="00F85DEE" w:rsidRPr="007247D3">
        <w:rPr>
          <w:rFonts w:ascii="Arial" w:hAnsi="Arial" w:cs="Arial"/>
        </w:rPr>
        <w:t xml:space="preserve">ee </w:t>
      </w:r>
      <w:r>
        <w:rPr>
          <w:rFonts w:ascii="Arial" w:hAnsi="Arial" w:cs="Arial"/>
        </w:rPr>
        <w:t>request</w:t>
      </w:r>
      <w:r w:rsidR="00F85DEE" w:rsidRPr="007247D3">
        <w:rPr>
          <w:rFonts w:ascii="Arial" w:hAnsi="Arial" w:cs="Arial"/>
        </w:rPr>
        <w:t>s should include the following information:</w:t>
      </w:r>
    </w:p>
    <w:p w14:paraId="39C17ECD" w14:textId="22BA1002" w:rsidR="00F85DEE" w:rsidRPr="007247D3" w:rsidRDefault="00F85DEE" w:rsidP="001B7C19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7247D3">
        <w:rPr>
          <w:rFonts w:ascii="Arial" w:hAnsi="Arial" w:cs="Arial"/>
        </w:rPr>
        <w:t xml:space="preserve">The proposed amount of the </w:t>
      </w:r>
      <w:r w:rsidR="00326700">
        <w:rPr>
          <w:rFonts w:ascii="Arial" w:hAnsi="Arial" w:cs="Arial"/>
        </w:rPr>
        <w:t>new fee</w:t>
      </w:r>
      <w:r w:rsidR="006B4DD6">
        <w:rPr>
          <w:rFonts w:ascii="Arial" w:hAnsi="Arial" w:cs="Arial"/>
        </w:rPr>
        <w:t xml:space="preserve"> or existing fee change</w:t>
      </w:r>
      <w:r w:rsidRPr="007247D3">
        <w:rPr>
          <w:rFonts w:ascii="Arial" w:hAnsi="Arial" w:cs="Arial"/>
        </w:rPr>
        <w:t xml:space="preserve"> requested.</w:t>
      </w:r>
    </w:p>
    <w:p w14:paraId="4F2A4DF9" w14:textId="3D35ABCE" w:rsidR="00F85DEE" w:rsidRPr="007247D3" w:rsidRDefault="00F85DEE" w:rsidP="001B7C19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7247D3">
        <w:rPr>
          <w:rFonts w:ascii="Arial" w:hAnsi="Arial" w:cs="Arial"/>
        </w:rPr>
        <w:t xml:space="preserve">The population to be assessed (list of courses, programs, </w:t>
      </w:r>
      <w:r w:rsidR="004B3200" w:rsidRPr="007247D3">
        <w:rPr>
          <w:rFonts w:ascii="Arial" w:hAnsi="Arial" w:cs="Arial"/>
        </w:rPr>
        <w:t xml:space="preserve">user types, </w:t>
      </w:r>
      <w:r w:rsidRPr="007247D3">
        <w:rPr>
          <w:rFonts w:ascii="Arial" w:hAnsi="Arial" w:cs="Arial"/>
        </w:rPr>
        <w:t>etc.)</w:t>
      </w:r>
      <w:r w:rsidR="00FA1066">
        <w:rPr>
          <w:rFonts w:ascii="Arial" w:hAnsi="Arial" w:cs="Arial"/>
        </w:rPr>
        <w:t>.</w:t>
      </w:r>
    </w:p>
    <w:p w14:paraId="24FE1895" w14:textId="3E140A3E" w:rsidR="0074220B" w:rsidRPr="007247D3" w:rsidRDefault="00F85DEE" w:rsidP="001B7C19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7247D3">
        <w:rPr>
          <w:rFonts w:ascii="Arial" w:hAnsi="Arial" w:cs="Arial"/>
        </w:rPr>
        <w:t xml:space="preserve">The amount of revenue that will be generated by the </w:t>
      </w:r>
      <w:r w:rsidR="006B4DD6">
        <w:rPr>
          <w:rFonts w:ascii="Arial" w:hAnsi="Arial" w:cs="Arial"/>
        </w:rPr>
        <w:t>new fee or existing fee change</w:t>
      </w:r>
      <w:r w:rsidR="0074220B" w:rsidRPr="007247D3">
        <w:rPr>
          <w:rFonts w:ascii="Arial" w:hAnsi="Arial" w:cs="Arial"/>
        </w:rPr>
        <w:t>.</w:t>
      </w:r>
    </w:p>
    <w:p w14:paraId="4301DEC6" w14:textId="287A18E3" w:rsidR="004B3200" w:rsidRPr="007247D3" w:rsidRDefault="0074220B" w:rsidP="001B7C19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7247D3">
        <w:rPr>
          <w:rFonts w:ascii="Arial" w:hAnsi="Arial" w:cs="Arial"/>
        </w:rPr>
        <w:t xml:space="preserve">The proposed use of the </w:t>
      </w:r>
      <w:r w:rsidR="001C64D8">
        <w:rPr>
          <w:rFonts w:ascii="Arial" w:hAnsi="Arial" w:cs="Arial"/>
        </w:rPr>
        <w:t>new fee or existing fee change</w:t>
      </w:r>
      <w:r w:rsidR="001C64D8" w:rsidRPr="007247D3">
        <w:rPr>
          <w:rFonts w:ascii="Arial" w:hAnsi="Arial" w:cs="Arial"/>
        </w:rPr>
        <w:t xml:space="preserve"> </w:t>
      </w:r>
      <w:r w:rsidR="00B9318F" w:rsidRPr="007247D3">
        <w:rPr>
          <w:rFonts w:ascii="Arial" w:hAnsi="Arial" w:cs="Arial"/>
        </w:rPr>
        <w:t>revenue</w:t>
      </w:r>
      <w:r w:rsidRPr="007247D3">
        <w:rPr>
          <w:rFonts w:ascii="Arial" w:hAnsi="Arial" w:cs="Arial"/>
        </w:rPr>
        <w:t xml:space="preserve">.  </w:t>
      </w:r>
    </w:p>
    <w:p w14:paraId="6ABA7F16" w14:textId="414C5B2B" w:rsidR="00F85DEE" w:rsidRPr="007247D3" w:rsidRDefault="004B3200" w:rsidP="001B7C19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7247D3">
        <w:rPr>
          <w:rFonts w:ascii="Arial" w:hAnsi="Arial" w:cs="Arial"/>
        </w:rPr>
        <w:t>A</w:t>
      </w:r>
      <w:r w:rsidR="00F85DEE" w:rsidRPr="007247D3">
        <w:rPr>
          <w:rFonts w:ascii="Arial" w:hAnsi="Arial" w:cs="Arial"/>
        </w:rPr>
        <w:t xml:space="preserve">n explanation of how students will benefit directly from </w:t>
      </w:r>
      <w:r w:rsidRPr="007247D3">
        <w:rPr>
          <w:rFonts w:ascii="Arial" w:hAnsi="Arial" w:cs="Arial"/>
        </w:rPr>
        <w:t xml:space="preserve">the </w:t>
      </w:r>
      <w:r w:rsidR="001C64D8">
        <w:rPr>
          <w:rFonts w:ascii="Arial" w:hAnsi="Arial" w:cs="Arial"/>
        </w:rPr>
        <w:t>new fee or existing fee change</w:t>
      </w:r>
      <w:r w:rsidRPr="007247D3">
        <w:rPr>
          <w:rFonts w:ascii="Arial" w:hAnsi="Arial" w:cs="Arial"/>
        </w:rPr>
        <w:t>.</w:t>
      </w:r>
    </w:p>
    <w:p w14:paraId="0FAA65FB" w14:textId="22F7CEAC" w:rsidR="00F85DEE" w:rsidRDefault="00F85DEE" w:rsidP="001B7C19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1C93314B">
        <w:rPr>
          <w:rFonts w:ascii="Arial" w:hAnsi="Arial" w:cs="Arial"/>
        </w:rPr>
        <w:t>The process and outcome of consultations with students</w:t>
      </w:r>
    </w:p>
    <w:p w14:paraId="02166BEC" w14:textId="1585B00E" w:rsidR="005224B2" w:rsidRDefault="005224B2" w:rsidP="001B7C19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status of the approval </w:t>
      </w:r>
      <w:r w:rsidR="00FF6586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</w:t>
      </w:r>
      <w:r w:rsidRPr="005224B2">
        <w:rPr>
          <w:rFonts w:ascii="Arial" w:hAnsi="Arial" w:cs="Arial"/>
        </w:rPr>
        <w:t>Graduate School and the Council on Academic Affairs subcommittee</w:t>
      </w:r>
      <w:r w:rsidR="00FF6586">
        <w:rPr>
          <w:rFonts w:ascii="Arial" w:hAnsi="Arial" w:cs="Arial"/>
        </w:rPr>
        <w:t xml:space="preserve"> for any </w:t>
      </w:r>
      <w:r w:rsidR="008706B7">
        <w:rPr>
          <w:rFonts w:ascii="Arial" w:hAnsi="Arial" w:cs="Arial"/>
        </w:rPr>
        <w:t xml:space="preserve">new </w:t>
      </w:r>
      <w:r w:rsidR="00066E81">
        <w:rPr>
          <w:rFonts w:ascii="Arial" w:hAnsi="Arial" w:cs="Arial"/>
        </w:rPr>
        <w:t xml:space="preserve">or changes in </w:t>
      </w:r>
      <w:r w:rsidR="008706B7">
        <w:rPr>
          <w:rFonts w:ascii="Arial" w:hAnsi="Arial" w:cs="Arial"/>
        </w:rPr>
        <w:t>differential programs</w:t>
      </w:r>
      <w:r w:rsidR="00066E81">
        <w:rPr>
          <w:rFonts w:ascii="Arial" w:hAnsi="Arial" w:cs="Arial"/>
        </w:rPr>
        <w:t>.</w:t>
      </w:r>
    </w:p>
    <w:p w14:paraId="1B1EE0D8" w14:textId="2A8972A6" w:rsidR="00180C2C" w:rsidRDefault="00180C2C" w:rsidP="00180C2C">
      <w:pPr>
        <w:rPr>
          <w:rFonts w:ascii="Arial" w:hAnsi="Arial" w:cs="Arial"/>
        </w:rPr>
      </w:pPr>
    </w:p>
    <w:p w14:paraId="76001023" w14:textId="7B77F3A4" w:rsidR="00180C2C" w:rsidRDefault="00180C2C" w:rsidP="00180C2C">
      <w:pPr>
        <w:rPr>
          <w:rFonts w:ascii="Arial" w:hAnsi="Arial" w:cs="Arial"/>
        </w:rPr>
      </w:pPr>
    </w:p>
    <w:p w14:paraId="43CACE31" w14:textId="56551221" w:rsidR="00180C2C" w:rsidRDefault="00180C2C" w:rsidP="00180C2C">
      <w:pPr>
        <w:rPr>
          <w:rFonts w:ascii="Arial" w:hAnsi="Arial" w:cs="Arial"/>
        </w:rPr>
      </w:pPr>
    </w:p>
    <w:p w14:paraId="18A55E26" w14:textId="77777777" w:rsidR="00180C2C" w:rsidRPr="00180C2C" w:rsidRDefault="00180C2C" w:rsidP="00180C2C">
      <w:pPr>
        <w:rPr>
          <w:rFonts w:ascii="Arial" w:hAnsi="Arial" w:cs="Arial"/>
        </w:rPr>
      </w:pPr>
    </w:p>
    <w:p w14:paraId="33EBEEA3" w14:textId="6FDABBBD" w:rsidR="00F85DEE" w:rsidRPr="007247D3" w:rsidRDefault="00F85DEE" w:rsidP="007D7ACA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7247D3">
        <w:rPr>
          <w:rFonts w:ascii="Arial" w:hAnsi="Arial" w:cs="Arial"/>
          <w:b/>
          <w:sz w:val="24"/>
          <w:szCs w:val="24"/>
        </w:rPr>
        <w:lastRenderedPageBreak/>
        <w:t>Differential Fees for Professional and Tagged Master</w:t>
      </w:r>
      <w:r w:rsidR="00C32E97">
        <w:rPr>
          <w:rFonts w:ascii="Arial" w:hAnsi="Arial" w:cs="Arial"/>
          <w:b/>
          <w:sz w:val="24"/>
          <w:szCs w:val="24"/>
        </w:rPr>
        <w:t>’</w:t>
      </w:r>
      <w:r w:rsidRPr="007247D3">
        <w:rPr>
          <w:rFonts w:ascii="Arial" w:hAnsi="Arial" w:cs="Arial"/>
          <w:b/>
          <w:sz w:val="24"/>
          <w:szCs w:val="24"/>
        </w:rPr>
        <w:t>s Programs</w:t>
      </w:r>
    </w:p>
    <w:p w14:paraId="7AF09679" w14:textId="00EF4483" w:rsidR="007247D3" w:rsidRPr="007247D3" w:rsidRDefault="007247D3" w:rsidP="007247D3">
      <w:pPr>
        <w:rPr>
          <w:rFonts w:ascii="Arial" w:hAnsi="Arial" w:cs="Arial"/>
        </w:rPr>
      </w:pPr>
      <w:r w:rsidRPr="1C93314B">
        <w:rPr>
          <w:rFonts w:ascii="Arial" w:hAnsi="Arial" w:cs="Arial"/>
        </w:rPr>
        <w:t xml:space="preserve">University policy </w:t>
      </w:r>
      <w:r w:rsidR="00AA1AD2" w:rsidRPr="1C93314B">
        <w:rPr>
          <w:rFonts w:ascii="Arial" w:hAnsi="Arial" w:cs="Arial"/>
        </w:rPr>
        <w:t>allows colleges to establish differential program fees for ODHE approved tagged master’s programs and professional programs</w:t>
      </w:r>
      <w:r w:rsidRPr="1C93314B">
        <w:rPr>
          <w:rFonts w:ascii="Arial" w:hAnsi="Arial" w:cs="Arial"/>
        </w:rPr>
        <w:t>. Colleges charging differential fees are permitted to retain the differential portion of the instructional fee increase above the University base increase.</w:t>
      </w:r>
    </w:p>
    <w:p w14:paraId="7AC98A80" w14:textId="2ABE75CE" w:rsidR="007247D3" w:rsidRPr="007247D3" w:rsidRDefault="007247D3" w:rsidP="007247D3">
      <w:pPr>
        <w:rPr>
          <w:rFonts w:ascii="Arial" w:hAnsi="Arial" w:cs="Arial"/>
        </w:rPr>
      </w:pPr>
      <w:r w:rsidRPr="1C93314B">
        <w:rPr>
          <w:rFonts w:ascii="Arial" w:hAnsi="Arial" w:cs="Arial"/>
        </w:rPr>
        <w:t xml:space="preserve">Colleges requesting </w:t>
      </w:r>
      <w:r w:rsidR="121AD603" w:rsidRPr="1C93314B">
        <w:rPr>
          <w:rFonts w:ascii="Arial" w:hAnsi="Arial" w:cs="Arial"/>
        </w:rPr>
        <w:t xml:space="preserve">an </w:t>
      </w:r>
      <w:r w:rsidR="121AD603" w:rsidRPr="1C93314B">
        <w:rPr>
          <w:rFonts w:ascii="Arial" w:hAnsi="Arial" w:cs="Arial"/>
          <w:b/>
          <w:bCs/>
          <w:i/>
          <w:iCs/>
        </w:rPr>
        <w:t xml:space="preserve">increased </w:t>
      </w:r>
      <w:r w:rsidRPr="1C93314B">
        <w:rPr>
          <w:rFonts w:ascii="Arial" w:hAnsi="Arial" w:cs="Arial"/>
        </w:rPr>
        <w:t>differential fee for FY 202</w:t>
      </w:r>
      <w:r w:rsidR="00012F23">
        <w:rPr>
          <w:rFonts w:ascii="Arial" w:hAnsi="Arial" w:cs="Arial"/>
        </w:rPr>
        <w:t>6</w:t>
      </w:r>
      <w:r w:rsidRPr="1C93314B">
        <w:rPr>
          <w:rFonts w:ascii="Arial" w:hAnsi="Arial" w:cs="Arial"/>
        </w:rPr>
        <w:t xml:space="preserve"> for an </w:t>
      </w:r>
      <w:r w:rsidRPr="1C93314B">
        <w:rPr>
          <w:rFonts w:ascii="Arial" w:hAnsi="Arial" w:cs="Arial"/>
          <w:b/>
          <w:bCs/>
          <w:i/>
          <w:iCs/>
        </w:rPr>
        <w:t>existing</w:t>
      </w:r>
      <w:r w:rsidRPr="1C93314B">
        <w:rPr>
          <w:rFonts w:ascii="Arial" w:hAnsi="Arial" w:cs="Arial"/>
        </w:rPr>
        <w:t xml:space="preserve"> program, must also provide the Office of Financial Planning &amp; Analysis with a </w:t>
      </w:r>
      <w:proofErr w:type="gramStart"/>
      <w:r w:rsidRPr="1C93314B">
        <w:rPr>
          <w:rFonts w:ascii="Arial" w:hAnsi="Arial" w:cs="Arial"/>
        </w:rPr>
        <w:t>3-5</w:t>
      </w:r>
      <w:r w:rsidR="00012F23">
        <w:rPr>
          <w:rFonts w:ascii="Arial" w:hAnsi="Arial" w:cs="Arial"/>
        </w:rPr>
        <w:t xml:space="preserve"> </w:t>
      </w:r>
      <w:r w:rsidRPr="1C93314B">
        <w:rPr>
          <w:rFonts w:ascii="Arial" w:hAnsi="Arial" w:cs="Arial"/>
        </w:rPr>
        <w:t>year</w:t>
      </w:r>
      <w:proofErr w:type="gramEnd"/>
      <w:r w:rsidRPr="1C93314B">
        <w:rPr>
          <w:rFonts w:ascii="Arial" w:hAnsi="Arial" w:cs="Arial"/>
        </w:rPr>
        <w:t xml:space="preserve"> financial impact projection that includes the number of students impacted, expected growth, and expected revenue generation. Proposals for new fee-paying categories are evaluated based on the overall strength of the proposal and the financial impact to the proposing college, the University, and the students.</w:t>
      </w:r>
    </w:p>
    <w:p w14:paraId="20D35C18" w14:textId="5572D5D4" w:rsidR="007247D3" w:rsidRPr="007247D3" w:rsidRDefault="007247D3" w:rsidP="007247D3">
      <w:pPr>
        <w:rPr>
          <w:rFonts w:ascii="Arial" w:hAnsi="Arial" w:cs="Arial"/>
        </w:rPr>
      </w:pPr>
      <w:r w:rsidRPr="1C93314B">
        <w:rPr>
          <w:rFonts w:ascii="Arial" w:hAnsi="Arial" w:cs="Arial"/>
        </w:rPr>
        <w:t xml:space="preserve">Colleges requesting implementation of a </w:t>
      </w:r>
      <w:r w:rsidRPr="1C93314B">
        <w:rPr>
          <w:rFonts w:ascii="Arial" w:hAnsi="Arial" w:cs="Arial"/>
          <w:b/>
          <w:bCs/>
          <w:i/>
          <w:iCs/>
        </w:rPr>
        <w:t>new</w:t>
      </w:r>
      <w:r w:rsidRPr="1C93314B">
        <w:rPr>
          <w:rFonts w:ascii="Arial" w:hAnsi="Arial" w:cs="Arial"/>
        </w:rPr>
        <w:t xml:space="preserve"> differential fee </w:t>
      </w:r>
      <w:r w:rsidR="00AA1AD2" w:rsidRPr="1C93314B">
        <w:rPr>
          <w:rFonts w:ascii="Arial" w:hAnsi="Arial" w:cs="Arial"/>
        </w:rPr>
        <w:t xml:space="preserve">for </w:t>
      </w:r>
      <w:r w:rsidRPr="1C93314B">
        <w:rPr>
          <w:rFonts w:ascii="Arial" w:hAnsi="Arial" w:cs="Arial"/>
        </w:rPr>
        <w:t xml:space="preserve">a </w:t>
      </w:r>
      <w:r w:rsidRPr="1C93314B">
        <w:rPr>
          <w:rFonts w:ascii="Arial" w:hAnsi="Arial" w:cs="Arial"/>
          <w:b/>
          <w:bCs/>
          <w:i/>
          <w:iCs/>
        </w:rPr>
        <w:t>new</w:t>
      </w:r>
      <w:r w:rsidRPr="1C93314B">
        <w:rPr>
          <w:rFonts w:ascii="Arial" w:hAnsi="Arial" w:cs="Arial"/>
        </w:rPr>
        <w:t xml:space="preserve"> </w:t>
      </w:r>
      <w:r w:rsidR="00D57BCE" w:rsidRPr="1C93314B">
        <w:rPr>
          <w:rFonts w:ascii="Arial" w:hAnsi="Arial" w:cs="Arial"/>
        </w:rPr>
        <w:t>program</w:t>
      </w:r>
      <w:r w:rsidRPr="1C93314B">
        <w:rPr>
          <w:rFonts w:ascii="Arial" w:hAnsi="Arial" w:cs="Arial"/>
        </w:rPr>
        <w:t xml:space="preserve"> must have approval </w:t>
      </w:r>
      <w:r w:rsidR="00CE65E0">
        <w:rPr>
          <w:rFonts w:ascii="Arial" w:hAnsi="Arial" w:cs="Arial"/>
        </w:rPr>
        <w:t xml:space="preserve">or concurrently </w:t>
      </w:r>
      <w:r w:rsidR="00910BC1">
        <w:rPr>
          <w:rFonts w:ascii="Arial" w:hAnsi="Arial" w:cs="Arial"/>
        </w:rPr>
        <w:t xml:space="preserve">be seeking approval </w:t>
      </w:r>
      <w:r w:rsidR="00AA1AD2" w:rsidRPr="1C93314B">
        <w:rPr>
          <w:rFonts w:ascii="Arial" w:hAnsi="Arial" w:cs="Arial"/>
        </w:rPr>
        <w:t>of</w:t>
      </w:r>
      <w:r w:rsidRPr="1C93314B">
        <w:rPr>
          <w:rFonts w:ascii="Arial" w:hAnsi="Arial" w:cs="Arial"/>
        </w:rPr>
        <w:t xml:space="preserve"> the Graduate School and the C</w:t>
      </w:r>
      <w:r w:rsidR="0EE06E44" w:rsidRPr="1C93314B">
        <w:rPr>
          <w:rFonts w:ascii="Arial" w:hAnsi="Arial" w:cs="Arial"/>
        </w:rPr>
        <w:t xml:space="preserve">ouncil on Academic Affairs </w:t>
      </w:r>
      <w:r w:rsidRPr="1C93314B">
        <w:rPr>
          <w:rFonts w:ascii="Arial" w:hAnsi="Arial" w:cs="Arial"/>
        </w:rPr>
        <w:t>subcommittee.  Documentation on the new program’s approval must be provided.</w:t>
      </w:r>
    </w:p>
    <w:p w14:paraId="22152178" w14:textId="25CC0FE8" w:rsidR="005F0ABA" w:rsidRPr="005F0ABA" w:rsidRDefault="007247D3" w:rsidP="005F0ABA">
      <w:pPr>
        <w:rPr>
          <w:rFonts w:ascii="Arial" w:hAnsi="Arial" w:cs="Arial"/>
        </w:rPr>
      </w:pPr>
      <w:r w:rsidRPr="007247D3">
        <w:rPr>
          <w:rFonts w:ascii="Arial" w:hAnsi="Arial" w:cs="Arial"/>
        </w:rPr>
        <w:t xml:space="preserve">Proposed </w:t>
      </w:r>
      <w:r w:rsidRPr="0052020B">
        <w:rPr>
          <w:rFonts w:ascii="Arial" w:hAnsi="Arial" w:cs="Arial"/>
          <w:b/>
          <w:bCs/>
          <w:i/>
          <w:iCs/>
        </w:rPr>
        <w:t>decreases</w:t>
      </w:r>
      <w:r w:rsidRPr="007247D3">
        <w:rPr>
          <w:rFonts w:ascii="Arial" w:hAnsi="Arial" w:cs="Arial"/>
        </w:rPr>
        <w:t xml:space="preserve"> in fees, including the non-resident surcharge, </w:t>
      </w:r>
      <w:r w:rsidR="00AA1AD2">
        <w:rPr>
          <w:rFonts w:ascii="Arial" w:hAnsi="Arial" w:cs="Arial"/>
        </w:rPr>
        <w:t xml:space="preserve">should be accompanied with the </w:t>
      </w:r>
      <w:r w:rsidRPr="007247D3">
        <w:rPr>
          <w:rFonts w:ascii="Arial" w:hAnsi="Arial" w:cs="Arial"/>
        </w:rPr>
        <w:t xml:space="preserve">financial </w:t>
      </w:r>
      <w:r w:rsidR="00AA1AD2">
        <w:rPr>
          <w:rFonts w:ascii="Arial" w:hAnsi="Arial" w:cs="Arial"/>
        </w:rPr>
        <w:t>pro forma and impact for</w:t>
      </w:r>
      <w:r w:rsidRPr="007247D3">
        <w:rPr>
          <w:rFonts w:ascii="Arial" w:hAnsi="Arial" w:cs="Arial"/>
        </w:rPr>
        <w:t xml:space="preserve"> the entire University – not just the initiating unit. Therefore, any such proposal must include both the rationale for the requested change in fees and an analysis of the revenue impact on both </w:t>
      </w:r>
      <w:r w:rsidR="005F0ABA" w:rsidRPr="007247D3">
        <w:rPr>
          <w:rFonts w:ascii="Arial" w:hAnsi="Arial" w:cs="Arial"/>
        </w:rPr>
        <w:t>the college</w:t>
      </w:r>
      <w:r w:rsidRPr="007247D3">
        <w:rPr>
          <w:rFonts w:ascii="Arial" w:hAnsi="Arial" w:cs="Arial"/>
        </w:rPr>
        <w:t xml:space="preserve"> and central revenues.</w:t>
      </w:r>
    </w:p>
    <w:sectPr w:rsidR="005F0ABA" w:rsidRPr="005F0ABA" w:rsidSect="006906FC">
      <w:headerReference w:type="default" r:id="rId11"/>
      <w:pgSz w:w="12240" w:h="15840"/>
      <w:pgMar w:top="113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58294" w14:textId="77777777" w:rsidR="005A4361" w:rsidRDefault="005A4361" w:rsidP="004E1854">
      <w:pPr>
        <w:spacing w:after="0" w:line="240" w:lineRule="auto"/>
      </w:pPr>
      <w:r>
        <w:separator/>
      </w:r>
    </w:p>
  </w:endnote>
  <w:endnote w:type="continuationSeparator" w:id="0">
    <w:p w14:paraId="54EA0D73" w14:textId="77777777" w:rsidR="005A4361" w:rsidRDefault="005A4361" w:rsidP="004E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67C87" w14:textId="77777777" w:rsidR="005A4361" w:rsidRDefault="005A4361" w:rsidP="004E1854">
      <w:pPr>
        <w:spacing w:after="0" w:line="240" w:lineRule="auto"/>
      </w:pPr>
      <w:r>
        <w:separator/>
      </w:r>
    </w:p>
  </w:footnote>
  <w:footnote w:type="continuationSeparator" w:id="0">
    <w:p w14:paraId="470756F6" w14:textId="77777777" w:rsidR="005A4361" w:rsidRDefault="005A4361" w:rsidP="004E1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E8205" w14:textId="0F9BD182" w:rsidR="00141D66" w:rsidRPr="007247D3" w:rsidRDefault="007247D3" w:rsidP="007247D3">
    <w:pPr>
      <w:pBdr>
        <w:bottom w:val="single" w:sz="4" w:space="1" w:color="auto"/>
      </w:pBdr>
      <w:tabs>
        <w:tab w:val="right" w:pos="10800"/>
      </w:tabs>
      <w:spacing w:after="120" w:line="240" w:lineRule="auto"/>
      <w:ind w:left="1267"/>
      <w:rPr>
        <w:rFonts w:ascii="Arial" w:hAnsi="Arial" w:cs="Arial"/>
        <w:b/>
        <w:sz w:val="28"/>
        <w:szCs w:val="28"/>
      </w:rPr>
    </w:pPr>
    <w:bookmarkStart w:id="0" w:name="_Toc385343013"/>
    <w:r w:rsidRPr="00526F14">
      <w:rPr>
        <w:noProof/>
        <w:color w:val="00B050"/>
        <w:szCs w:val="36"/>
      </w:rPr>
      <w:drawing>
        <wp:anchor distT="0" distB="0" distL="114300" distR="114300" simplePos="0" relativeHeight="251678208" behindDoc="0" locked="0" layoutInCell="1" allowOverlap="1" wp14:anchorId="6835EC6C" wp14:editId="6037802A">
          <wp:simplePos x="0" y="0"/>
          <wp:positionH relativeFrom="margin">
            <wp:posOffset>-304800</wp:posOffset>
          </wp:positionH>
          <wp:positionV relativeFrom="margin">
            <wp:posOffset>-709295</wp:posOffset>
          </wp:positionV>
          <wp:extent cx="1092200" cy="666750"/>
          <wp:effectExtent l="0" t="0" r="0" b="0"/>
          <wp:wrapSquare wrapText="bothSides"/>
          <wp:docPr id="1" name="Picture 4" descr="TheOhioStateUniversity-Stacked-RGBH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heOhioStateUniversity-Stacked-RGBH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b/>
        <w:sz w:val="28"/>
        <w:szCs w:val="28"/>
      </w:rPr>
      <w:t xml:space="preserve">  </w:t>
    </w:r>
    <w:r w:rsidR="00141D66" w:rsidRPr="007247D3">
      <w:rPr>
        <w:rFonts w:ascii="Arial" w:hAnsi="Arial" w:cs="Arial"/>
        <w:b/>
        <w:sz w:val="28"/>
        <w:szCs w:val="28"/>
      </w:rPr>
      <w:t>FY 20</w:t>
    </w:r>
    <w:r w:rsidRPr="007247D3">
      <w:rPr>
        <w:rFonts w:ascii="Arial" w:hAnsi="Arial" w:cs="Arial"/>
        <w:b/>
        <w:sz w:val="28"/>
        <w:szCs w:val="28"/>
      </w:rPr>
      <w:t>2</w:t>
    </w:r>
    <w:r w:rsidR="00012F23">
      <w:rPr>
        <w:rFonts w:ascii="Arial" w:hAnsi="Arial" w:cs="Arial"/>
        <w:b/>
        <w:sz w:val="28"/>
        <w:szCs w:val="28"/>
      </w:rPr>
      <w:t>6</w:t>
    </w:r>
    <w:r w:rsidR="00141D66" w:rsidRPr="007247D3">
      <w:rPr>
        <w:rFonts w:ascii="Arial" w:hAnsi="Arial" w:cs="Arial"/>
        <w:b/>
        <w:sz w:val="28"/>
        <w:szCs w:val="28"/>
      </w:rPr>
      <w:t xml:space="preserve"> </w:t>
    </w:r>
    <w:r w:rsidR="00A65343">
      <w:rPr>
        <w:rFonts w:ascii="Arial" w:hAnsi="Arial" w:cs="Arial"/>
        <w:b/>
        <w:sz w:val="28"/>
        <w:szCs w:val="28"/>
      </w:rPr>
      <w:t xml:space="preserve">Student </w:t>
    </w:r>
    <w:r w:rsidR="00F85DEE" w:rsidRPr="007247D3">
      <w:rPr>
        <w:rFonts w:ascii="Arial" w:hAnsi="Arial" w:cs="Arial"/>
        <w:b/>
        <w:sz w:val="28"/>
        <w:szCs w:val="28"/>
      </w:rPr>
      <w:t>Fee</w:t>
    </w:r>
    <w:r w:rsidR="00141D66" w:rsidRPr="007247D3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b/>
        <w:sz w:val="28"/>
        <w:szCs w:val="28"/>
      </w:rPr>
      <w:t>Request Guidance</w:t>
    </w:r>
    <w:r w:rsidR="00141D66" w:rsidRPr="007247D3">
      <w:rPr>
        <w:rFonts w:ascii="Arial" w:hAnsi="Arial" w:cs="Arial"/>
        <w:sz w:val="20"/>
        <w:szCs w:val="20"/>
      </w:rPr>
      <w:tab/>
      <w:t xml:space="preserve">Page </w:t>
    </w:r>
    <w:r w:rsidR="00141D66" w:rsidRPr="007247D3">
      <w:rPr>
        <w:rFonts w:ascii="Arial" w:hAnsi="Arial" w:cs="Arial"/>
        <w:sz w:val="20"/>
        <w:szCs w:val="20"/>
      </w:rPr>
      <w:fldChar w:fldCharType="begin"/>
    </w:r>
    <w:r w:rsidR="00141D66" w:rsidRPr="007247D3">
      <w:rPr>
        <w:rFonts w:ascii="Arial" w:hAnsi="Arial" w:cs="Arial"/>
        <w:sz w:val="20"/>
        <w:szCs w:val="20"/>
      </w:rPr>
      <w:instrText xml:space="preserve"> PAGE   \* MERGEFORMAT </w:instrText>
    </w:r>
    <w:r w:rsidR="00141D66" w:rsidRPr="007247D3">
      <w:rPr>
        <w:rFonts w:ascii="Arial" w:hAnsi="Arial" w:cs="Arial"/>
        <w:sz w:val="20"/>
        <w:szCs w:val="20"/>
      </w:rPr>
      <w:fldChar w:fldCharType="separate"/>
    </w:r>
    <w:r w:rsidR="00167952">
      <w:rPr>
        <w:rFonts w:ascii="Arial" w:hAnsi="Arial" w:cs="Arial"/>
        <w:noProof/>
        <w:sz w:val="20"/>
        <w:szCs w:val="20"/>
      </w:rPr>
      <w:t>2</w:t>
    </w:r>
    <w:r w:rsidR="00141D66" w:rsidRPr="007247D3">
      <w:rPr>
        <w:rFonts w:ascii="Arial" w:hAnsi="Arial" w:cs="Arial"/>
        <w:sz w:val="20"/>
        <w:szCs w:val="20"/>
      </w:rPr>
      <w:fldChar w:fldCharType="end"/>
    </w:r>
    <w:r w:rsidR="00141D66" w:rsidRPr="007247D3">
      <w:rPr>
        <w:rFonts w:ascii="Arial" w:hAnsi="Arial" w:cs="Arial"/>
        <w:sz w:val="20"/>
        <w:szCs w:val="20"/>
      </w:rPr>
      <w:t xml:space="preserve"> of </w:t>
    </w:r>
    <w:r w:rsidR="00141D66" w:rsidRPr="007247D3">
      <w:rPr>
        <w:rFonts w:ascii="Arial" w:hAnsi="Arial" w:cs="Arial"/>
        <w:sz w:val="20"/>
        <w:szCs w:val="20"/>
      </w:rPr>
      <w:fldChar w:fldCharType="begin"/>
    </w:r>
    <w:r w:rsidR="00141D66" w:rsidRPr="007247D3">
      <w:rPr>
        <w:rFonts w:ascii="Arial" w:hAnsi="Arial" w:cs="Arial"/>
        <w:sz w:val="20"/>
        <w:szCs w:val="20"/>
      </w:rPr>
      <w:instrText xml:space="preserve"> NUMPAGES   \* MERGEFORMAT </w:instrText>
    </w:r>
    <w:r w:rsidR="00141D66" w:rsidRPr="007247D3">
      <w:rPr>
        <w:rFonts w:ascii="Arial" w:hAnsi="Arial" w:cs="Arial"/>
        <w:sz w:val="20"/>
        <w:szCs w:val="20"/>
      </w:rPr>
      <w:fldChar w:fldCharType="separate"/>
    </w:r>
    <w:r w:rsidR="00167952">
      <w:rPr>
        <w:rFonts w:ascii="Arial" w:hAnsi="Arial" w:cs="Arial"/>
        <w:noProof/>
        <w:sz w:val="20"/>
        <w:szCs w:val="20"/>
      </w:rPr>
      <w:t>2</w:t>
    </w:r>
    <w:r w:rsidR="00141D66" w:rsidRPr="007247D3">
      <w:rPr>
        <w:rFonts w:ascii="Arial" w:hAnsi="Arial" w:cs="Arial"/>
        <w:sz w:val="20"/>
        <w:szCs w:val="20"/>
      </w:rPr>
      <w:fldChar w:fldCharType="end"/>
    </w:r>
    <w:r w:rsidR="00141D66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5019"/>
    <w:multiLevelType w:val="hybridMultilevel"/>
    <w:tmpl w:val="433470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73716"/>
    <w:multiLevelType w:val="hybridMultilevel"/>
    <w:tmpl w:val="03AC1B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C653F"/>
    <w:multiLevelType w:val="hybridMultilevel"/>
    <w:tmpl w:val="02F0F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C1B97"/>
    <w:multiLevelType w:val="hybridMultilevel"/>
    <w:tmpl w:val="B0E6D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40546"/>
    <w:multiLevelType w:val="hybridMultilevel"/>
    <w:tmpl w:val="FA22A792"/>
    <w:lvl w:ilvl="0" w:tplc="3F1EE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D23B8"/>
    <w:multiLevelType w:val="hybridMultilevel"/>
    <w:tmpl w:val="05F83E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D1402"/>
    <w:multiLevelType w:val="hybridMultilevel"/>
    <w:tmpl w:val="82F6A1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3487A"/>
    <w:multiLevelType w:val="hybridMultilevel"/>
    <w:tmpl w:val="0C58DC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841E7"/>
    <w:multiLevelType w:val="hybridMultilevel"/>
    <w:tmpl w:val="0660F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92067"/>
    <w:multiLevelType w:val="hybridMultilevel"/>
    <w:tmpl w:val="81EA80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2A345C"/>
    <w:multiLevelType w:val="hybridMultilevel"/>
    <w:tmpl w:val="CC78BC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404EA"/>
    <w:multiLevelType w:val="hybridMultilevel"/>
    <w:tmpl w:val="56067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860E30"/>
    <w:multiLevelType w:val="hybridMultilevel"/>
    <w:tmpl w:val="FAE25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A2752"/>
    <w:multiLevelType w:val="hybridMultilevel"/>
    <w:tmpl w:val="7F0A3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47FE3"/>
    <w:multiLevelType w:val="hybridMultilevel"/>
    <w:tmpl w:val="D5D29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6452E"/>
    <w:multiLevelType w:val="hybridMultilevel"/>
    <w:tmpl w:val="D74C2EE4"/>
    <w:lvl w:ilvl="0" w:tplc="5BD8E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F6A78"/>
    <w:multiLevelType w:val="hybridMultilevel"/>
    <w:tmpl w:val="B7A26FD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14250B"/>
    <w:multiLevelType w:val="hybridMultilevel"/>
    <w:tmpl w:val="B7C453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3D3B31"/>
    <w:multiLevelType w:val="hybridMultilevel"/>
    <w:tmpl w:val="2512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9051A"/>
    <w:multiLevelType w:val="hybridMultilevel"/>
    <w:tmpl w:val="91563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70260"/>
    <w:multiLevelType w:val="hybridMultilevel"/>
    <w:tmpl w:val="93745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C21B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A52DE"/>
    <w:multiLevelType w:val="hybridMultilevel"/>
    <w:tmpl w:val="CA90A9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B7FA8"/>
    <w:multiLevelType w:val="hybridMultilevel"/>
    <w:tmpl w:val="66CADF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D004B"/>
    <w:multiLevelType w:val="hybridMultilevel"/>
    <w:tmpl w:val="FAE25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14609"/>
    <w:multiLevelType w:val="hybridMultilevel"/>
    <w:tmpl w:val="914233E8"/>
    <w:lvl w:ilvl="0" w:tplc="B2980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C2C97"/>
    <w:multiLevelType w:val="hybridMultilevel"/>
    <w:tmpl w:val="CEC4C0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5F3038"/>
    <w:multiLevelType w:val="hybridMultilevel"/>
    <w:tmpl w:val="47FE5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01081"/>
    <w:multiLevelType w:val="hybridMultilevel"/>
    <w:tmpl w:val="391C3B5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7252245">
    <w:abstractNumId w:val="19"/>
  </w:num>
  <w:num w:numId="2" w16cid:durableId="150799599">
    <w:abstractNumId w:val="25"/>
  </w:num>
  <w:num w:numId="3" w16cid:durableId="1700541828">
    <w:abstractNumId w:val="9"/>
  </w:num>
  <w:num w:numId="4" w16cid:durableId="791556750">
    <w:abstractNumId w:val="15"/>
  </w:num>
  <w:num w:numId="5" w16cid:durableId="269700492">
    <w:abstractNumId w:val="27"/>
  </w:num>
  <w:num w:numId="6" w16cid:durableId="627467670">
    <w:abstractNumId w:val="0"/>
  </w:num>
  <w:num w:numId="7" w16cid:durableId="1574048251">
    <w:abstractNumId w:val="7"/>
  </w:num>
  <w:num w:numId="8" w16cid:durableId="1929994345">
    <w:abstractNumId w:val="26"/>
  </w:num>
  <w:num w:numId="9" w16cid:durableId="1299872787">
    <w:abstractNumId w:val="4"/>
  </w:num>
  <w:num w:numId="10" w16cid:durableId="288518303">
    <w:abstractNumId w:val="11"/>
  </w:num>
  <w:num w:numId="11" w16cid:durableId="1525365046">
    <w:abstractNumId w:val="16"/>
  </w:num>
  <w:num w:numId="12" w16cid:durableId="1319186322">
    <w:abstractNumId w:val="10"/>
  </w:num>
  <w:num w:numId="13" w16cid:durableId="332877277">
    <w:abstractNumId w:val="8"/>
  </w:num>
  <w:num w:numId="14" w16cid:durableId="71896531">
    <w:abstractNumId w:val="24"/>
  </w:num>
  <w:num w:numId="15" w16cid:durableId="820315095">
    <w:abstractNumId w:val="3"/>
  </w:num>
  <w:num w:numId="16" w16cid:durableId="1039821605">
    <w:abstractNumId w:val="17"/>
  </w:num>
  <w:num w:numId="17" w16cid:durableId="78256934">
    <w:abstractNumId w:val="6"/>
  </w:num>
  <w:num w:numId="18" w16cid:durableId="308023093">
    <w:abstractNumId w:val="12"/>
  </w:num>
  <w:num w:numId="19" w16cid:durableId="978463372">
    <w:abstractNumId w:val="14"/>
  </w:num>
  <w:num w:numId="20" w16cid:durableId="1559591587">
    <w:abstractNumId w:val="1"/>
  </w:num>
  <w:num w:numId="21" w16cid:durableId="1116631859">
    <w:abstractNumId w:val="22"/>
  </w:num>
  <w:num w:numId="22" w16cid:durableId="88309749">
    <w:abstractNumId w:val="23"/>
  </w:num>
  <w:num w:numId="23" w16cid:durableId="554706009">
    <w:abstractNumId w:val="21"/>
  </w:num>
  <w:num w:numId="24" w16cid:durableId="1104954581">
    <w:abstractNumId w:val="5"/>
  </w:num>
  <w:num w:numId="25" w16cid:durableId="89325868">
    <w:abstractNumId w:val="2"/>
  </w:num>
  <w:num w:numId="26" w16cid:durableId="202403669">
    <w:abstractNumId w:val="18"/>
  </w:num>
  <w:num w:numId="27" w16cid:durableId="432626145">
    <w:abstractNumId w:val="13"/>
  </w:num>
  <w:num w:numId="28" w16cid:durableId="19309657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0C4"/>
    <w:rsid w:val="0000052C"/>
    <w:rsid w:val="0000113E"/>
    <w:rsid w:val="00003682"/>
    <w:rsid w:val="00012BCC"/>
    <w:rsid w:val="00012F23"/>
    <w:rsid w:val="000224A9"/>
    <w:rsid w:val="00035D6A"/>
    <w:rsid w:val="00037EBA"/>
    <w:rsid w:val="00056D91"/>
    <w:rsid w:val="00056DEC"/>
    <w:rsid w:val="000618A2"/>
    <w:rsid w:val="000632E3"/>
    <w:rsid w:val="0006456A"/>
    <w:rsid w:val="00066E81"/>
    <w:rsid w:val="00072735"/>
    <w:rsid w:val="000767DF"/>
    <w:rsid w:val="00085929"/>
    <w:rsid w:val="00085C8C"/>
    <w:rsid w:val="000C1A19"/>
    <w:rsid w:val="000C4EDB"/>
    <w:rsid w:val="000C5221"/>
    <w:rsid w:val="000C6602"/>
    <w:rsid w:val="000C727D"/>
    <w:rsid w:val="000C78A7"/>
    <w:rsid w:val="000D437D"/>
    <w:rsid w:val="000D5F87"/>
    <w:rsid w:val="000E3D31"/>
    <w:rsid w:val="000E649E"/>
    <w:rsid w:val="000F2AB8"/>
    <w:rsid w:val="00101E4D"/>
    <w:rsid w:val="001031D9"/>
    <w:rsid w:val="00132890"/>
    <w:rsid w:val="0013338F"/>
    <w:rsid w:val="00141D66"/>
    <w:rsid w:val="00144C4E"/>
    <w:rsid w:val="00163DCD"/>
    <w:rsid w:val="0016433A"/>
    <w:rsid w:val="00164A82"/>
    <w:rsid w:val="00166324"/>
    <w:rsid w:val="00167952"/>
    <w:rsid w:val="00171C36"/>
    <w:rsid w:val="00180C2C"/>
    <w:rsid w:val="001967FD"/>
    <w:rsid w:val="001A3C21"/>
    <w:rsid w:val="001B7C19"/>
    <w:rsid w:val="001C64D8"/>
    <w:rsid w:val="001E78E5"/>
    <w:rsid w:val="001F6B41"/>
    <w:rsid w:val="00216696"/>
    <w:rsid w:val="00221B58"/>
    <w:rsid w:val="0022247B"/>
    <w:rsid w:val="00222BB7"/>
    <w:rsid w:val="00242788"/>
    <w:rsid w:val="0024559B"/>
    <w:rsid w:val="00256727"/>
    <w:rsid w:val="0027359D"/>
    <w:rsid w:val="002743FB"/>
    <w:rsid w:val="00277199"/>
    <w:rsid w:val="0028288D"/>
    <w:rsid w:val="00284626"/>
    <w:rsid w:val="00291C2F"/>
    <w:rsid w:val="00294D4B"/>
    <w:rsid w:val="002B0199"/>
    <w:rsid w:val="002C3899"/>
    <w:rsid w:val="002D2520"/>
    <w:rsid w:val="002E7CE4"/>
    <w:rsid w:val="002F4376"/>
    <w:rsid w:val="002F6E47"/>
    <w:rsid w:val="00300D74"/>
    <w:rsid w:val="00306E3D"/>
    <w:rsid w:val="003263EE"/>
    <w:rsid w:val="00326700"/>
    <w:rsid w:val="003304CE"/>
    <w:rsid w:val="003340BD"/>
    <w:rsid w:val="00335D8E"/>
    <w:rsid w:val="00351A1A"/>
    <w:rsid w:val="003866F5"/>
    <w:rsid w:val="00386F74"/>
    <w:rsid w:val="003A00C4"/>
    <w:rsid w:val="003C5AAE"/>
    <w:rsid w:val="003C5F27"/>
    <w:rsid w:val="003D39E7"/>
    <w:rsid w:val="003D4159"/>
    <w:rsid w:val="003D4955"/>
    <w:rsid w:val="003D4BEF"/>
    <w:rsid w:val="0045468B"/>
    <w:rsid w:val="004723E4"/>
    <w:rsid w:val="0047351C"/>
    <w:rsid w:val="0048781F"/>
    <w:rsid w:val="004A1E07"/>
    <w:rsid w:val="004B2F91"/>
    <w:rsid w:val="004B3200"/>
    <w:rsid w:val="004B6A26"/>
    <w:rsid w:val="004B7502"/>
    <w:rsid w:val="004C3AA3"/>
    <w:rsid w:val="004C6159"/>
    <w:rsid w:val="004D3905"/>
    <w:rsid w:val="004D7820"/>
    <w:rsid w:val="004E1854"/>
    <w:rsid w:val="004E71F3"/>
    <w:rsid w:val="004F1D1D"/>
    <w:rsid w:val="004F54D5"/>
    <w:rsid w:val="00505B52"/>
    <w:rsid w:val="00506BA0"/>
    <w:rsid w:val="0051357F"/>
    <w:rsid w:val="0052020B"/>
    <w:rsid w:val="00521C47"/>
    <w:rsid w:val="005224B2"/>
    <w:rsid w:val="005402DC"/>
    <w:rsid w:val="00541366"/>
    <w:rsid w:val="00583D47"/>
    <w:rsid w:val="00590A3E"/>
    <w:rsid w:val="00593FD6"/>
    <w:rsid w:val="005A1A92"/>
    <w:rsid w:val="005A4361"/>
    <w:rsid w:val="005C059B"/>
    <w:rsid w:val="005C4B38"/>
    <w:rsid w:val="005C4E71"/>
    <w:rsid w:val="005D0CC7"/>
    <w:rsid w:val="005D7709"/>
    <w:rsid w:val="005E7864"/>
    <w:rsid w:val="005F0ABA"/>
    <w:rsid w:val="005F2373"/>
    <w:rsid w:val="005F2F91"/>
    <w:rsid w:val="005F6798"/>
    <w:rsid w:val="00610CA6"/>
    <w:rsid w:val="00621DE3"/>
    <w:rsid w:val="00622443"/>
    <w:rsid w:val="006445C9"/>
    <w:rsid w:val="0065267C"/>
    <w:rsid w:val="00656F03"/>
    <w:rsid w:val="00664F22"/>
    <w:rsid w:val="006906FC"/>
    <w:rsid w:val="00697C2E"/>
    <w:rsid w:val="006A0835"/>
    <w:rsid w:val="006B4DD6"/>
    <w:rsid w:val="006B586E"/>
    <w:rsid w:val="006C054E"/>
    <w:rsid w:val="006C4C52"/>
    <w:rsid w:val="006D3305"/>
    <w:rsid w:val="006E1BD9"/>
    <w:rsid w:val="006F4589"/>
    <w:rsid w:val="007049E5"/>
    <w:rsid w:val="007247D3"/>
    <w:rsid w:val="00724F29"/>
    <w:rsid w:val="007332B9"/>
    <w:rsid w:val="0074220B"/>
    <w:rsid w:val="007563CF"/>
    <w:rsid w:val="007839D4"/>
    <w:rsid w:val="00787AA7"/>
    <w:rsid w:val="007B0242"/>
    <w:rsid w:val="007C2A8D"/>
    <w:rsid w:val="007C4021"/>
    <w:rsid w:val="007D7ACA"/>
    <w:rsid w:val="007E4484"/>
    <w:rsid w:val="007E530B"/>
    <w:rsid w:val="007F1CEA"/>
    <w:rsid w:val="00801B66"/>
    <w:rsid w:val="008025EE"/>
    <w:rsid w:val="00804AFE"/>
    <w:rsid w:val="00853D49"/>
    <w:rsid w:val="00866919"/>
    <w:rsid w:val="008674E8"/>
    <w:rsid w:val="00867864"/>
    <w:rsid w:val="00867BC5"/>
    <w:rsid w:val="008706B7"/>
    <w:rsid w:val="00875394"/>
    <w:rsid w:val="00895BBA"/>
    <w:rsid w:val="008A0DC9"/>
    <w:rsid w:val="008A6D26"/>
    <w:rsid w:val="008B4004"/>
    <w:rsid w:val="008B7A20"/>
    <w:rsid w:val="008C7D7A"/>
    <w:rsid w:val="008D443A"/>
    <w:rsid w:val="008E4E8E"/>
    <w:rsid w:val="008E5ABF"/>
    <w:rsid w:val="008E775A"/>
    <w:rsid w:val="008F59EC"/>
    <w:rsid w:val="0090197A"/>
    <w:rsid w:val="00910BC1"/>
    <w:rsid w:val="009301AD"/>
    <w:rsid w:val="009567B5"/>
    <w:rsid w:val="00961C3E"/>
    <w:rsid w:val="00967287"/>
    <w:rsid w:val="009709C6"/>
    <w:rsid w:val="00973E20"/>
    <w:rsid w:val="00982D51"/>
    <w:rsid w:val="009A0A57"/>
    <w:rsid w:val="009A4EA7"/>
    <w:rsid w:val="009A7B77"/>
    <w:rsid w:val="009B63DA"/>
    <w:rsid w:val="009D2D8D"/>
    <w:rsid w:val="009D76E5"/>
    <w:rsid w:val="009E1564"/>
    <w:rsid w:val="009E5F6A"/>
    <w:rsid w:val="009E6474"/>
    <w:rsid w:val="009E691F"/>
    <w:rsid w:val="009F654D"/>
    <w:rsid w:val="00A0213F"/>
    <w:rsid w:val="00A038EB"/>
    <w:rsid w:val="00A049BA"/>
    <w:rsid w:val="00A25F13"/>
    <w:rsid w:val="00A27179"/>
    <w:rsid w:val="00A3785F"/>
    <w:rsid w:val="00A42226"/>
    <w:rsid w:val="00A505CB"/>
    <w:rsid w:val="00A65343"/>
    <w:rsid w:val="00A7564F"/>
    <w:rsid w:val="00A76224"/>
    <w:rsid w:val="00A93FB7"/>
    <w:rsid w:val="00A97633"/>
    <w:rsid w:val="00AA1AD2"/>
    <w:rsid w:val="00AE3EF3"/>
    <w:rsid w:val="00AF043A"/>
    <w:rsid w:val="00AF4611"/>
    <w:rsid w:val="00AF4844"/>
    <w:rsid w:val="00B03F9D"/>
    <w:rsid w:val="00B04AB9"/>
    <w:rsid w:val="00B23CAD"/>
    <w:rsid w:val="00B424F9"/>
    <w:rsid w:val="00B45739"/>
    <w:rsid w:val="00B5421F"/>
    <w:rsid w:val="00B72CA9"/>
    <w:rsid w:val="00B72F07"/>
    <w:rsid w:val="00B76A26"/>
    <w:rsid w:val="00B81CD7"/>
    <w:rsid w:val="00B86030"/>
    <w:rsid w:val="00B92857"/>
    <w:rsid w:val="00B9318F"/>
    <w:rsid w:val="00B97C31"/>
    <w:rsid w:val="00BA342D"/>
    <w:rsid w:val="00BB4CEA"/>
    <w:rsid w:val="00BC216A"/>
    <w:rsid w:val="00BC3B01"/>
    <w:rsid w:val="00C05A29"/>
    <w:rsid w:val="00C1125D"/>
    <w:rsid w:val="00C173AB"/>
    <w:rsid w:val="00C243FE"/>
    <w:rsid w:val="00C3134C"/>
    <w:rsid w:val="00C32E97"/>
    <w:rsid w:val="00C37679"/>
    <w:rsid w:val="00C4249E"/>
    <w:rsid w:val="00C70B3F"/>
    <w:rsid w:val="00C74F5A"/>
    <w:rsid w:val="00C81A22"/>
    <w:rsid w:val="00C949BF"/>
    <w:rsid w:val="00CA187A"/>
    <w:rsid w:val="00CB1B5C"/>
    <w:rsid w:val="00CC31FA"/>
    <w:rsid w:val="00CC46CF"/>
    <w:rsid w:val="00CC65CD"/>
    <w:rsid w:val="00CE65E0"/>
    <w:rsid w:val="00CE68D5"/>
    <w:rsid w:val="00CE6E04"/>
    <w:rsid w:val="00D0423C"/>
    <w:rsid w:val="00D12B13"/>
    <w:rsid w:val="00D15B7E"/>
    <w:rsid w:val="00D20530"/>
    <w:rsid w:val="00D40293"/>
    <w:rsid w:val="00D47BBB"/>
    <w:rsid w:val="00D57BCE"/>
    <w:rsid w:val="00D63AF6"/>
    <w:rsid w:val="00D64DD7"/>
    <w:rsid w:val="00D77D09"/>
    <w:rsid w:val="00D97B6B"/>
    <w:rsid w:val="00DA1606"/>
    <w:rsid w:val="00DB40E8"/>
    <w:rsid w:val="00DB5CD9"/>
    <w:rsid w:val="00DC66F1"/>
    <w:rsid w:val="00DE3C13"/>
    <w:rsid w:val="00DE63FA"/>
    <w:rsid w:val="00DF1AA0"/>
    <w:rsid w:val="00DF3E01"/>
    <w:rsid w:val="00DF45C5"/>
    <w:rsid w:val="00E11D50"/>
    <w:rsid w:val="00E201B0"/>
    <w:rsid w:val="00E23A38"/>
    <w:rsid w:val="00E300AF"/>
    <w:rsid w:val="00E30311"/>
    <w:rsid w:val="00E468A8"/>
    <w:rsid w:val="00E53688"/>
    <w:rsid w:val="00E6629A"/>
    <w:rsid w:val="00E75C29"/>
    <w:rsid w:val="00E76CE6"/>
    <w:rsid w:val="00E82812"/>
    <w:rsid w:val="00E83BEA"/>
    <w:rsid w:val="00E95CC8"/>
    <w:rsid w:val="00E963AD"/>
    <w:rsid w:val="00EA5E48"/>
    <w:rsid w:val="00EA61DD"/>
    <w:rsid w:val="00EB2CD2"/>
    <w:rsid w:val="00EB79F6"/>
    <w:rsid w:val="00ED0EF6"/>
    <w:rsid w:val="00ED6829"/>
    <w:rsid w:val="00EF60CB"/>
    <w:rsid w:val="00F0071B"/>
    <w:rsid w:val="00F07313"/>
    <w:rsid w:val="00F1637F"/>
    <w:rsid w:val="00F176AC"/>
    <w:rsid w:val="00F240AB"/>
    <w:rsid w:val="00F26C15"/>
    <w:rsid w:val="00F742CC"/>
    <w:rsid w:val="00F83D2E"/>
    <w:rsid w:val="00F8423B"/>
    <w:rsid w:val="00F85DEE"/>
    <w:rsid w:val="00FA1066"/>
    <w:rsid w:val="00FB08D4"/>
    <w:rsid w:val="00FC4705"/>
    <w:rsid w:val="00FC686F"/>
    <w:rsid w:val="00FD2C39"/>
    <w:rsid w:val="00FE2942"/>
    <w:rsid w:val="00FF6586"/>
    <w:rsid w:val="0EE06E44"/>
    <w:rsid w:val="121AD603"/>
    <w:rsid w:val="17ECBDAA"/>
    <w:rsid w:val="1C2E2193"/>
    <w:rsid w:val="1C93314B"/>
    <w:rsid w:val="24FF3F89"/>
    <w:rsid w:val="2649C69E"/>
    <w:rsid w:val="2695D34F"/>
    <w:rsid w:val="3593EFF2"/>
    <w:rsid w:val="3A2B20FA"/>
    <w:rsid w:val="3FEA23A3"/>
    <w:rsid w:val="4007DD3D"/>
    <w:rsid w:val="4010B8DF"/>
    <w:rsid w:val="4433D86A"/>
    <w:rsid w:val="45761B5D"/>
    <w:rsid w:val="4829CCFF"/>
    <w:rsid w:val="49C59D60"/>
    <w:rsid w:val="5D83DE87"/>
    <w:rsid w:val="6044B386"/>
    <w:rsid w:val="61E083E7"/>
    <w:rsid w:val="69D26D6F"/>
    <w:rsid w:val="6D5C12DE"/>
    <w:rsid w:val="6DBC53F3"/>
    <w:rsid w:val="74DDCE5D"/>
    <w:rsid w:val="76E9C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08BA3"/>
  <w15:docId w15:val="{7268DC03-EC4A-4535-96CF-367408DE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0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6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3A38"/>
    <w:pPr>
      <w:ind w:left="720"/>
      <w:contextualSpacing/>
    </w:pPr>
  </w:style>
  <w:style w:type="paragraph" w:styleId="NoSpacing">
    <w:name w:val="No Spacing"/>
    <w:uiPriority w:val="1"/>
    <w:qFormat/>
    <w:rsid w:val="006A083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402D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E1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854"/>
  </w:style>
  <w:style w:type="paragraph" w:styleId="Footer">
    <w:name w:val="footer"/>
    <w:basedOn w:val="Normal"/>
    <w:link w:val="FooterChar"/>
    <w:uiPriority w:val="99"/>
    <w:unhideWhenUsed/>
    <w:rsid w:val="004E1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854"/>
  </w:style>
  <w:style w:type="character" w:styleId="CommentReference">
    <w:name w:val="annotation reference"/>
    <w:basedOn w:val="DefaultParagraphFont"/>
    <w:uiPriority w:val="99"/>
    <w:semiHidden/>
    <w:unhideWhenUsed/>
    <w:rsid w:val="008B7A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7A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7A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A2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D7709"/>
    <w:rPr>
      <w:color w:val="0000FF" w:themeColor="hyperlink"/>
      <w:u w:val="single"/>
    </w:rPr>
  </w:style>
  <w:style w:type="table" w:styleId="LightList">
    <w:name w:val="Light List"/>
    <w:basedOn w:val="TableNormal"/>
    <w:uiPriority w:val="61"/>
    <w:rsid w:val="00F85D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ColorfulShading">
    <w:name w:val="Colorful Shading"/>
    <w:basedOn w:val="TableNormal"/>
    <w:uiPriority w:val="71"/>
    <w:rsid w:val="00F85D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-Accent2">
    <w:name w:val="Dark List Accent 2"/>
    <w:basedOn w:val="TableNormal"/>
    <w:uiPriority w:val="70"/>
    <w:rsid w:val="00F85D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4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CD949663AD84FB01C77AB0EE3AAB3" ma:contentTypeVersion="9" ma:contentTypeDescription="Create a new document." ma:contentTypeScope="" ma:versionID="b4d60b339c4475cdc68199db444a7b34">
  <xsd:schema xmlns:xsd="http://www.w3.org/2001/XMLSchema" xmlns:xs="http://www.w3.org/2001/XMLSchema" xmlns:p="http://schemas.microsoft.com/office/2006/metadata/properties" xmlns:ns2="7bd532b3-53c2-47db-a10a-4e8d82d76c6f" xmlns:ns3="3e8c44b7-8373-451f-836e-2beeec1704e0" targetNamespace="http://schemas.microsoft.com/office/2006/metadata/properties" ma:root="true" ma:fieldsID="4dd16bc8fea55047041ca63ea90ea9a4" ns2:_="" ns3:_="">
    <xsd:import namespace="7bd532b3-53c2-47db-a10a-4e8d82d76c6f"/>
    <xsd:import namespace="3e8c44b7-8373-451f-836e-2beeec170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ocation" minOccurs="0"/>
                <xsd:element ref="ns2:Topic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532b3-53c2-47db-a10a-4e8d82d76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ocation" ma:index="14" nillable="true" ma:displayName="Location" ma:format="Dropdown" ma:internalName="Location">
      <xsd:simpleType>
        <xsd:restriction base="dms:Text">
          <xsd:maxLength value="255"/>
        </xsd:restriction>
      </xsd:simpleType>
    </xsd:element>
    <xsd:element name="Topic" ma:index="15" nillable="true" ma:displayName="Topic" ma:format="Dropdown" ma:internalName="Topic">
      <xsd:simpleType>
        <xsd:restriction base="dms:Text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c44b7-8373-451f-836e-2beeec1704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bd532b3-53c2-47db-a10a-4e8d82d76c6f" xsi:nil="true"/>
    <Location xmlns="7bd532b3-53c2-47db-a10a-4e8d82d76c6f" xsi:nil="true"/>
    <SharedWithUsers xmlns="3e8c44b7-8373-451f-836e-2beeec1704e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3A0D6CB-9D3E-4F64-9D05-5A20FF365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7B92D4-8B32-41D3-A032-58CE14CCC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532b3-53c2-47db-a10a-4e8d82d76c6f"/>
    <ds:schemaRef ds:uri="3e8c44b7-8373-451f-836e-2beeec170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E18769-BE86-47D4-B1E9-2916DF7071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3D0FA9-C326-452C-901F-BE45D8478695}">
  <ds:schemaRefs>
    <ds:schemaRef ds:uri="http://schemas.microsoft.com/office/2006/metadata/properties"/>
    <ds:schemaRef ds:uri="http://schemas.microsoft.com/office/infopath/2007/PartnerControls"/>
    <ds:schemaRef ds:uri="7bd532b3-53c2-47db-a10a-4e8d82d76c6f"/>
    <ds:schemaRef ds:uri="3e8c44b7-8373-451f-836e-2beeec1704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3403</Characters>
  <Application>Microsoft Office Word</Application>
  <DocSecurity>4</DocSecurity>
  <Lines>77</Lines>
  <Paragraphs>48</Paragraphs>
  <ScaleCrop>false</ScaleCrop>
  <Company>The Ohio State University BFAP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Kristany Berger</dc:creator>
  <cp:lastModifiedBy>Brown, Karina</cp:lastModifiedBy>
  <cp:revision>2</cp:revision>
  <cp:lastPrinted>2012-11-06T15:37:00Z</cp:lastPrinted>
  <dcterms:created xsi:type="dcterms:W3CDTF">2024-09-13T19:52:00Z</dcterms:created>
  <dcterms:modified xsi:type="dcterms:W3CDTF">2024-09-13T19:52:00Z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0x010100CB3CD949663AD84FB01C77AB0EE3AAB3</vt:lpwstr>
  </property>
  <property fmtid="{D5CDD505-2E9C-101B-9397-08002B2CF9AE}" pid="3" name="Order">
    <vt:r8>52400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